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95"/>
        <w:gridCol w:w="1657"/>
      </w:tblGrid>
      <w:tr>
        <w:tc>
          <w:tcPr>
            <w:tcW w:w="8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spacing w:before="57"/>
              <w:jc w:val="center"/>
              <w:rPr>
                <w:rFonts w:ascii="Marianne" w:eastAsia="Times New Roman" w:hAnsi="Marianne" w:cs="Arial"/>
                <w:b/>
                <w:bCs/>
                <w:sz w:val="28"/>
                <w:szCs w:val="28"/>
                <w:lang w:eastAsia="fr-FR"/>
              </w:rPr>
            </w:pPr>
            <w:bookmarkStart w:id="0" w:name="_Hlk192682901"/>
            <w:r>
              <w:rPr>
                <w:rFonts w:ascii="Marianne" w:eastAsia="Times New Roman" w:hAnsi="Marianne" w:cs="Arial"/>
                <w:b/>
                <w:bCs/>
                <w:sz w:val="28"/>
                <w:szCs w:val="28"/>
                <w:lang w:eastAsia="fr-FR"/>
              </w:rPr>
              <w:t xml:space="preserve">ACCORD-CADRE </w:t>
            </w:r>
          </w:p>
          <w:p>
            <w:pPr>
              <w:spacing w:before="57"/>
              <w:jc w:val="center"/>
              <w:rPr>
                <w:rFonts w:ascii="Marianne" w:eastAsia="Times New Roman" w:hAnsi="Marianne" w:cs="Arial"/>
                <w:b/>
                <w:bCs/>
                <w:sz w:val="28"/>
                <w:szCs w:val="28"/>
                <w:lang w:eastAsia="fr-FR"/>
              </w:rPr>
            </w:pPr>
            <w:r>
              <w:rPr>
                <w:rFonts w:ascii="Marianne" w:eastAsia="Times New Roman" w:hAnsi="Marianne" w:cs="Arial"/>
                <w:b/>
                <w:bCs/>
                <w:sz w:val="28"/>
                <w:szCs w:val="28"/>
                <w:lang w:eastAsia="fr-FR"/>
              </w:rPr>
              <w:t>PORTANT SUR DES PRESTATIONS DE</w:t>
            </w:r>
          </w:p>
          <w:p>
            <w:pPr>
              <w:spacing w:before="57"/>
              <w:jc w:val="center"/>
              <w:rPr>
                <w:rFonts w:ascii="Marianne" w:eastAsia="Times New Roman" w:hAnsi="Marianne" w:cs="Arial"/>
                <w:b/>
                <w:bCs/>
                <w:sz w:val="28"/>
                <w:szCs w:val="28"/>
                <w:lang w:eastAsia="fr-FR"/>
              </w:rPr>
            </w:pPr>
            <w:r>
              <w:rPr>
                <w:rFonts w:ascii="Marianne" w:eastAsia="Times New Roman" w:hAnsi="Marianne" w:cs="Arial"/>
                <w:b/>
                <w:bCs/>
                <w:sz w:val="28"/>
                <w:szCs w:val="28"/>
                <w:lang w:eastAsia="fr-FR"/>
              </w:rPr>
              <w:t xml:space="preserve"> MAINTENANCE ET TRAVAUX DES INSTALLATIONS DE SECURITE INCENDIE, EQUIPEMENTS D’ALARME ET MOYENS DE LUTTE CONTRE L’INCENDIE</w:t>
            </w:r>
          </w:p>
          <w:bookmarkEnd w:id="0"/>
          <w:p>
            <w:pPr>
              <w:spacing w:before="57"/>
              <w:jc w:val="center"/>
              <w:rPr>
                <w:rFonts w:ascii="Marianne" w:eastAsia="Times New Roman" w:hAnsi="Marianne" w:cs="Arial"/>
                <w:b/>
                <w:bCs/>
                <w:sz w:val="28"/>
                <w:szCs w:val="28"/>
                <w:lang w:eastAsia="fr-FR"/>
              </w:rPr>
            </w:pPr>
          </w:p>
          <w:p>
            <w:pPr>
              <w:spacing w:before="57"/>
              <w:jc w:val="center"/>
              <w:rPr>
                <w:rFonts w:ascii="Marianne" w:eastAsia="Times New Roman" w:hAnsi="Marianne" w:cs="Arial"/>
                <w:b/>
                <w:bCs/>
                <w:sz w:val="28"/>
                <w:szCs w:val="28"/>
                <w:lang w:eastAsia="fr-FR"/>
              </w:rPr>
            </w:pPr>
            <w:r>
              <w:rPr>
                <w:rFonts w:ascii="Marianne" w:eastAsia="Times New Roman" w:hAnsi="Marianne" w:cs="Arial"/>
                <w:b/>
                <w:bCs/>
                <w:sz w:val="28"/>
                <w:szCs w:val="28"/>
                <w:lang w:eastAsia="fr-FR"/>
              </w:rPr>
              <w:t>AU PROFIT DES SERVICES DE L'ÉTAT ET DE CERTAINS ÉTABLISSEMENTS PUBLICS EN REGION ILE-DE-FRANCE</w:t>
            </w:r>
          </w:p>
          <w:p>
            <w:pPr>
              <w:pStyle w:val="TableContents"/>
              <w:jc w:val="center"/>
              <w:rPr>
                <w:rFonts w:ascii="Marianne" w:hAnsi="Marianne"/>
              </w:rPr>
            </w:pPr>
          </w:p>
          <w:p>
            <w:pPr>
              <w:pStyle w:val="TableContents"/>
              <w:jc w:val="center"/>
              <w:rPr>
                <w:rFonts w:ascii="Marianne" w:hAnsi="Marianne"/>
                <w:b/>
                <w:bCs/>
                <w:sz w:val="28"/>
                <w:szCs w:val="28"/>
              </w:rPr>
            </w:pPr>
            <w:r>
              <w:rPr>
                <w:rFonts w:ascii="Marianne" w:hAnsi="Marianne"/>
                <w:b/>
                <w:bCs/>
                <w:sz w:val="28"/>
                <w:szCs w:val="28"/>
              </w:rPr>
              <w:t>« Annexe 5 : Ordre de préférence d’attribution des lots »</w:t>
            </w:r>
          </w:p>
          <w:p>
            <w:pPr>
              <w:pStyle w:val="Standard"/>
              <w:jc w:val="center"/>
              <w:rPr>
                <w:rFonts w:ascii="Marianne" w:hAnsi="Marianne"/>
                <w:b/>
                <w:bCs/>
                <w:color w:val="FF0000"/>
              </w:rPr>
            </w:pPr>
            <w:r>
              <w:rPr>
                <w:rFonts w:ascii="Marianne" w:hAnsi="Marianne"/>
                <w:b/>
                <w:bCs/>
                <w:color w:val="FF0000"/>
              </w:rPr>
              <w:t>A remplir par le candidat et à joindre à l’offre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jc w:val="center"/>
              <w:rPr>
                <w:rFonts w:ascii="Marianne" w:hAnsi="Marianne"/>
                <w:b/>
                <w:bCs/>
                <w:sz w:val="36"/>
                <w:szCs w:val="36"/>
              </w:rPr>
            </w:pPr>
            <w:r>
              <w:rPr>
                <w:rFonts w:ascii="Marianne" w:hAnsi="Marianne"/>
                <w:b/>
                <w:bCs/>
                <w:sz w:val="36"/>
                <w:szCs w:val="36"/>
              </w:rPr>
              <w:t>Annexe 5</w:t>
            </w:r>
          </w:p>
          <w:p>
            <w:pPr>
              <w:pStyle w:val="TableContents"/>
              <w:jc w:val="center"/>
              <w:rPr>
                <w:rFonts w:ascii="Marianne" w:hAnsi="Marianne"/>
                <w:b/>
                <w:bCs/>
                <w:sz w:val="36"/>
                <w:szCs w:val="36"/>
              </w:rPr>
            </w:pPr>
            <w:r>
              <w:rPr>
                <w:rFonts w:ascii="Marianne" w:hAnsi="Marianne"/>
                <w:b/>
                <w:bCs/>
                <w:sz w:val="36"/>
                <w:szCs w:val="36"/>
              </w:rPr>
              <w:t>au RC</w:t>
            </w:r>
          </w:p>
        </w:tc>
      </w:tr>
    </w:tbl>
    <w:p>
      <w:pPr>
        <w:pStyle w:val="Standard"/>
        <w:jc w:val="center"/>
        <w:rPr>
          <w:rFonts w:ascii="Marianne" w:hAnsi="Marianne"/>
          <w:b/>
          <w:bCs/>
          <w:u w:val="single"/>
        </w:rPr>
      </w:pPr>
    </w:p>
    <w:p>
      <w:pPr>
        <w:pStyle w:val="Standard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>Rappel du système :</w:t>
      </w:r>
    </w:p>
    <w:p>
      <w:pPr>
        <w:pStyle w:val="Standard"/>
        <w:rPr>
          <w:rFonts w:ascii="Marianne" w:hAnsi="Marianne"/>
        </w:rPr>
      </w:pPr>
    </w:p>
    <w:p>
      <w:pPr>
        <w:pStyle w:val="Standard"/>
        <w:jc w:val="both"/>
        <w:rPr>
          <w:rFonts w:ascii="Marianne" w:hAnsi="Marianne"/>
          <w:b/>
          <w:sz w:val="20"/>
          <w:szCs w:val="20"/>
          <w:lang w:eastAsia="fr-FR"/>
        </w:rPr>
      </w:pPr>
      <w:r>
        <w:rPr>
          <w:rFonts w:ascii="Marianne" w:hAnsi="Marianne"/>
          <w:b/>
          <w:sz w:val="20"/>
          <w:szCs w:val="20"/>
          <w:lang w:eastAsia="fr-FR"/>
        </w:rPr>
        <w:t>Les soumissionnaires sont libres de présenter une offre pour chacun des 10 lots.</w:t>
      </w:r>
    </w:p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</w:p>
    <w:p>
      <w:pPr>
        <w:pStyle w:val="Standard"/>
        <w:jc w:val="both"/>
        <w:rPr>
          <w:rFonts w:ascii="Marianne" w:hAnsi="Marianne"/>
        </w:rPr>
      </w:pPr>
      <w:r>
        <w:rPr>
          <w:rFonts w:ascii="Marianne" w:hAnsi="Marianne"/>
          <w:sz w:val="20"/>
          <w:szCs w:val="20"/>
          <w:lang w:eastAsia="fr-FR"/>
        </w:rPr>
        <w:t xml:space="preserve">En revanche, en application de l’article 3.3 du règlement de consultation, </w:t>
      </w:r>
      <w:r>
        <w:rPr>
          <w:rFonts w:ascii="Marianne" w:hAnsi="Marianne"/>
          <w:sz w:val="20"/>
          <w:szCs w:val="20"/>
          <w:u w:val="single"/>
          <w:lang w:eastAsia="fr-FR"/>
        </w:rPr>
        <w:t>le nombre de lots pouvant être attribués</w:t>
      </w:r>
      <w:r>
        <w:rPr>
          <w:rFonts w:ascii="Marianne" w:hAnsi="Marianne"/>
          <w:sz w:val="20"/>
          <w:szCs w:val="20"/>
          <w:lang w:eastAsia="fr-FR"/>
        </w:rPr>
        <w:t xml:space="preserve"> à une même entreprise est limité.</w:t>
      </w:r>
    </w:p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</w:p>
    <w:p>
      <w:pPr>
        <w:autoSpaceDE w:val="0"/>
        <w:adjustRightInd w:val="0"/>
        <w:jc w:val="both"/>
        <w:rPr>
          <w:rFonts w:ascii="Marianne" w:hAnsi="Marianne" w:cs="Marianne"/>
          <w:color w:val="000000"/>
          <w:sz w:val="20"/>
          <w:szCs w:val="20"/>
        </w:rPr>
      </w:pPr>
      <w:r>
        <w:rPr>
          <w:rFonts w:ascii="Marianne" w:hAnsi="Marianne" w:cs="Marianne"/>
          <w:color w:val="000000"/>
          <w:sz w:val="20"/>
          <w:szCs w:val="20"/>
        </w:rPr>
        <w:t>Il est rappelé qu’un même soumissionnaire ne peut être titulaire que de :</w:t>
      </w:r>
    </w:p>
    <w:p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="Marianne"/>
          <w:color w:val="000000"/>
          <w:sz w:val="20"/>
          <w:szCs w:val="20"/>
        </w:rPr>
      </w:pPr>
      <w:r>
        <w:rPr>
          <w:rFonts w:ascii="Marianne" w:hAnsi="Marianne" w:cs="Marianne"/>
          <w:color w:val="000000"/>
          <w:sz w:val="20"/>
          <w:szCs w:val="20"/>
        </w:rPr>
        <w:t>2 (deux) lots parmi l’ensemble constitué par les lots 1 à 4 ;</w:t>
      </w:r>
    </w:p>
    <w:p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="Marianne"/>
          <w:color w:val="000000"/>
          <w:sz w:val="20"/>
          <w:szCs w:val="20"/>
        </w:rPr>
      </w:pPr>
      <w:r>
        <w:rPr>
          <w:rFonts w:ascii="Marianne" w:hAnsi="Marianne" w:cs="Marianne"/>
          <w:color w:val="000000"/>
          <w:sz w:val="20"/>
          <w:szCs w:val="20"/>
        </w:rPr>
        <w:t xml:space="preserve">1 (un) lot parmi l’ensemble constitué par les lots 6 à 8 ; </w:t>
      </w:r>
    </w:p>
    <w:p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="Marianne"/>
          <w:color w:val="000000"/>
          <w:sz w:val="20"/>
          <w:szCs w:val="20"/>
        </w:rPr>
      </w:pPr>
      <w:r>
        <w:rPr>
          <w:rFonts w:ascii="Marianne" w:hAnsi="Marianne" w:cs="Marianne"/>
          <w:color w:val="000000"/>
          <w:sz w:val="20"/>
          <w:szCs w:val="20"/>
        </w:rPr>
        <w:t>1 (un) lot parmi l’ensemble constitué par les lots 9 à 10 ; </w:t>
      </w:r>
    </w:p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</w:p>
    <w:p>
      <w:pPr>
        <w:autoSpaceDE w:val="0"/>
        <w:adjustRightInd w:val="0"/>
        <w:jc w:val="both"/>
        <w:rPr>
          <w:rFonts w:ascii="Marianne" w:hAnsi="Marianne" w:cs="Marianne"/>
          <w:color w:val="000000"/>
          <w:sz w:val="20"/>
          <w:szCs w:val="20"/>
        </w:rPr>
      </w:pPr>
      <w:r>
        <w:rPr>
          <w:rFonts w:ascii="Marianne" w:hAnsi="Marianne" w:cs="Marianne"/>
          <w:color w:val="000000"/>
          <w:sz w:val="20"/>
          <w:szCs w:val="20"/>
        </w:rPr>
        <w:t>Le lot 5 n’est pas concerné par ces limitations.</w:t>
      </w:r>
    </w:p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</w:p>
    <w:p>
      <w:pPr>
        <w:pStyle w:val="Standard"/>
        <w:jc w:val="both"/>
        <w:rPr>
          <w:rFonts w:ascii="Marianne" w:hAnsi="Marianne"/>
        </w:rPr>
      </w:pPr>
      <w:r>
        <w:rPr>
          <w:rFonts w:ascii="Marianne" w:hAnsi="Marianne"/>
          <w:sz w:val="20"/>
          <w:szCs w:val="20"/>
          <w:lang w:eastAsia="fr-FR"/>
        </w:rPr>
        <w:t xml:space="preserve">Les soumissionnaires indiquent l’ordre de préférence d’attribution des lots dans la présente annexe. Cette annexe est obligatoirement remise au moment </w:t>
      </w:r>
      <w:r>
        <w:rPr>
          <w:rFonts w:ascii="Marianne" w:hAnsi="Marianne"/>
          <w:b/>
          <w:bCs/>
          <w:sz w:val="20"/>
          <w:szCs w:val="20"/>
          <w:lang w:eastAsia="fr-FR"/>
        </w:rPr>
        <w:t>du dépôt de l’offre</w:t>
      </w:r>
      <w:r>
        <w:rPr>
          <w:rFonts w:ascii="Marianne" w:hAnsi="Marianne"/>
          <w:sz w:val="20"/>
          <w:szCs w:val="20"/>
          <w:lang w:eastAsia="fr-FR"/>
        </w:rPr>
        <w:t>.</w:t>
      </w:r>
    </w:p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</w:p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>Le classement est effectué suivant les notes obtenues au regard des critères de jugement des offres.</w:t>
      </w:r>
    </w:p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</w:p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>L’annexe 5 au RC « ordre de préférence d’attribution des lots » est mise en œuvre uniquement dans le cas où un candidat est classé en première position pour plusieurs lots à l’issue de l’analyse initiale des offres. Dans ce cas, le candidat se voit attribuer les lots dans l’ordre de préférence de sa liste et conformément aux limites exposées plus haut.</w:t>
      </w:r>
    </w:p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</w:p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>Le lot qui n’aura pas pu être attribué à un soumissionnaire du fait de la règle rappelée ci-dessus sera attribué au candidat suivant du classement de l’analyse des offres pour le lot considéré.</w:t>
      </w:r>
    </w:p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</w:p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</w:p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</w:p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</w:p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</w:p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</w:p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</w:p>
    <w:p>
      <w:pPr>
        <w:pStyle w:val="Standard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lastRenderedPageBreak/>
        <w:t xml:space="preserve">Dans la colonne « ordre de préférence », les soumissionnaires </w:t>
      </w:r>
      <w:r>
        <w:rPr>
          <w:rFonts w:ascii="Marianne" w:hAnsi="Marianne"/>
          <w:b/>
          <w:bCs/>
          <w:color w:val="FF0000"/>
          <w:sz w:val="20"/>
          <w:szCs w:val="20"/>
          <w:u w:val="single"/>
          <w:lang w:eastAsia="fr-FR"/>
        </w:rPr>
        <w:t xml:space="preserve">suppriment </w:t>
      </w:r>
      <w:r>
        <w:rPr>
          <w:rFonts w:ascii="Marianne" w:hAnsi="Marianne"/>
          <w:b/>
          <w:bCs/>
          <w:sz w:val="20"/>
          <w:szCs w:val="20"/>
          <w:u w:val="single"/>
          <w:lang w:eastAsia="fr-FR"/>
        </w:rPr>
        <w:t>les mentions inutiles</w:t>
      </w:r>
      <w:r>
        <w:rPr>
          <w:rFonts w:ascii="Marianne" w:hAnsi="Marianne"/>
          <w:sz w:val="20"/>
          <w:szCs w:val="20"/>
          <w:lang w:eastAsia="fr-FR"/>
        </w:rPr>
        <w:t>.</w:t>
      </w:r>
    </w:p>
    <w:p>
      <w:pPr>
        <w:pStyle w:val="Standard"/>
        <w:rPr>
          <w:rFonts w:ascii="Marianne" w:hAnsi="Marianne"/>
        </w:rPr>
      </w:pPr>
    </w:p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5"/>
        <w:gridCol w:w="3969"/>
        <w:gridCol w:w="1701"/>
      </w:tblGrid>
      <w:tr>
        <w:trPr>
          <w:trHeight w:val="1088"/>
          <w:tblHeader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>
            <w:pPr>
              <w:jc w:val="center"/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>Intitulé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>
            <w:pPr>
              <w:jc w:val="center"/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>Géographie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>
            <w:pPr>
              <w:jc w:val="center"/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b/>
                <w:bCs/>
                <w:color w:val="FF0000"/>
                <w:sz w:val="18"/>
                <w:szCs w:val="18"/>
                <w:lang w:eastAsia="fr-FR"/>
              </w:rPr>
              <w:t>Ordre de préférence</w:t>
            </w:r>
          </w:p>
        </w:tc>
      </w:tr>
      <w:tr>
        <w:trPr>
          <w:trHeight w:val="1088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>
            <w:pPr>
              <w:rPr>
                <w:rFonts w:ascii="Marianne" w:eastAsia="Times New Roman" w:hAnsi="Marianne" w:cs="Calibri"/>
                <w:color w:val="40404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404040"/>
                <w:sz w:val="18"/>
                <w:szCs w:val="18"/>
                <w:lang w:eastAsia="fr-FR"/>
              </w:rPr>
              <w:t>Lot 1 :  Maintenance des installations de sécurité incendie et équipements d’alarme par agents itinérants (bons de commande)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 xml:space="preserve">75 nord  </w:t>
            </w:r>
          </w:p>
          <w:p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(Arrondissements :</w:t>
            </w:r>
          </w:p>
          <w:p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 xml:space="preserve">1er, 2ème, 3ème, 4 </w:t>
            </w:r>
            <w:proofErr w:type="spellStart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ème</w:t>
            </w:r>
            <w:proofErr w:type="spellEnd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 xml:space="preserve">, 8 </w:t>
            </w:r>
            <w:proofErr w:type="spellStart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ème</w:t>
            </w:r>
            <w:proofErr w:type="spellEnd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 xml:space="preserve"> ,9 </w:t>
            </w:r>
            <w:proofErr w:type="spellStart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ème</w:t>
            </w:r>
            <w:proofErr w:type="spellEnd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 xml:space="preserve"> ,10 </w:t>
            </w:r>
            <w:proofErr w:type="spellStart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ème</w:t>
            </w:r>
            <w:proofErr w:type="spellEnd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 xml:space="preserve">, 11 </w:t>
            </w:r>
            <w:proofErr w:type="spellStart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ème</w:t>
            </w:r>
            <w:proofErr w:type="spellEnd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 xml:space="preserve">, 12 </w:t>
            </w:r>
            <w:proofErr w:type="spellStart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ème</w:t>
            </w:r>
            <w:proofErr w:type="spellEnd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 xml:space="preserve">, 16 </w:t>
            </w:r>
            <w:proofErr w:type="spellStart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ème</w:t>
            </w:r>
            <w:proofErr w:type="spellEnd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 xml:space="preserve">, 17 </w:t>
            </w:r>
            <w:proofErr w:type="spellStart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ème</w:t>
            </w:r>
            <w:proofErr w:type="spellEnd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 xml:space="preserve">, 18 </w:t>
            </w:r>
            <w:proofErr w:type="spellStart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ème</w:t>
            </w:r>
            <w:proofErr w:type="spellEnd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 xml:space="preserve">, 19 </w:t>
            </w:r>
            <w:proofErr w:type="spellStart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ème</w:t>
            </w:r>
            <w:proofErr w:type="spellEnd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 xml:space="preserve"> et 20 </w:t>
            </w:r>
            <w:proofErr w:type="spellStart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ème</w:t>
            </w:r>
            <w:proofErr w:type="spellEnd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1, 2, 3, 4</w:t>
            </w:r>
          </w:p>
        </w:tc>
      </w:tr>
      <w:tr>
        <w:trPr>
          <w:trHeight w:val="1088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>
            <w:pPr>
              <w:rPr>
                <w:rFonts w:ascii="Marianne" w:eastAsia="Times New Roman" w:hAnsi="Marianne" w:cs="Calibri"/>
                <w:color w:val="40404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404040"/>
                <w:sz w:val="18"/>
                <w:szCs w:val="18"/>
                <w:lang w:eastAsia="fr-FR"/>
              </w:rPr>
              <w:t>Lot 2 :  Maintenance des installations de sécurité incendie et équipements d’alarme par agents itinérants (bons de commande)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75 sud</w:t>
            </w:r>
          </w:p>
          <w:p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(Arrondissements :</w:t>
            </w:r>
          </w:p>
          <w:p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 xml:space="preserve">5 </w:t>
            </w:r>
            <w:proofErr w:type="spellStart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ème</w:t>
            </w:r>
            <w:proofErr w:type="spellEnd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 xml:space="preserve">, 6 </w:t>
            </w:r>
            <w:proofErr w:type="spellStart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ème</w:t>
            </w:r>
            <w:proofErr w:type="spellEnd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 xml:space="preserve">, 7 </w:t>
            </w:r>
            <w:proofErr w:type="spellStart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ème</w:t>
            </w:r>
            <w:proofErr w:type="spellEnd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 xml:space="preserve">, 13 </w:t>
            </w:r>
            <w:proofErr w:type="spellStart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ème</w:t>
            </w:r>
            <w:proofErr w:type="spellEnd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 xml:space="preserve">, 14 </w:t>
            </w:r>
            <w:proofErr w:type="spellStart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ème</w:t>
            </w:r>
            <w:proofErr w:type="spellEnd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 xml:space="preserve"> et 15 </w:t>
            </w:r>
            <w:proofErr w:type="spellStart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ème</w:t>
            </w:r>
            <w:proofErr w:type="spellEnd"/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1, 2, 3, 4</w:t>
            </w:r>
          </w:p>
        </w:tc>
      </w:tr>
      <w:tr>
        <w:trPr>
          <w:trHeight w:val="1088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>
            <w:pPr>
              <w:rPr>
                <w:rFonts w:ascii="Marianne" w:eastAsia="Times New Roman" w:hAnsi="Marianne" w:cs="Calibri"/>
                <w:color w:val="40404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404040"/>
                <w:sz w:val="18"/>
                <w:szCs w:val="18"/>
                <w:lang w:eastAsia="fr-FR"/>
              </w:rPr>
              <w:t>Lot 3 :  Maintenance des installations de sécurité incendie et équipements d’alarme par agents itinérants (bons de commande)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77 - 91 - 93 - 94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1, 2, 3, 4</w:t>
            </w:r>
          </w:p>
        </w:tc>
      </w:tr>
      <w:tr>
        <w:trPr>
          <w:trHeight w:val="1088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>
            <w:pPr>
              <w:rPr>
                <w:rFonts w:ascii="Marianne" w:eastAsia="Times New Roman" w:hAnsi="Marianne" w:cs="Calibri"/>
                <w:color w:val="40404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404040"/>
                <w:sz w:val="18"/>
                <w:szCs w:val="18"/>
                <w:lang w:eastAsia="fr-FR"/>
              </w:rPr>
              <w:t>Lot 4 :  Maintenance des installations de sécurité incendie et équipements d’alarme par agents itinérants (bons de commande)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78 - 92 - 95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1, 2, 3, 4</w:t>
            </w:r>
          </w:p>
        </w:tc>
      </w:tr>
      <w:tr>
        <w:trPr>
          <w:trHeight w:val="1088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>
            <w:pPr>
              <w:rPr>
                <w:rFonts w:ascii="Marianne" w:eastAsia="Times New Roman" w:hAnsi="Marianne" w:cs="Calibri"/>
                <w:color w:val="40404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404040"/>
                <w:sz w:val="18"/>
                <w:szCs w:val="18"/>
                <w:lang w:eastAsia="fr-FR"/>
              </w:rPr>
              <w:t xml:space="preserve">Lot 5 : Maintenance des installations de sécurité incendie et équipements d’alarme par </w:t>
            </w:r>
            <w:r>
              <w:rPr>
                <w:rFonts w:ascii="Marianne" w:eastAsia="Times New Roman" w:hAnsi="Marianne" w:cs="Calibri"/>
                <w:color w:val="404040"/>
                <w:sz w:val="18"/>
                <w:szCs w:val="18"/>
                <w:u w:val="single"/>
                <w:lang w:eastAsia="fr-FR"/>
              </w:rPr>
              <w:t>agents postés</w:t>
            </w:r>
            <w:r>
              <w:rPr>
                <w:rFonts w:ascii="Marianne" w:eastAsia="Times New Roman" w:hAnsi="Marianne" w:cs="Calibri"/>
                <w:color w:val="404040"/>
                <w:sz w:val="18"/>
                <w:szCs w:val="18"/>
                <w:lang w:eastAsia="fr-FR"/>
              </w:rPr>
              <w:t xml:space="preserve"> (</w:t>
            </w:r>
            <w:r>
              <w:rPr>
                <w:rFonts w:ascii="Marianne" w:eastAsia="Times New Roman" w:hAnsi="Marianne" w:cs="Calibri"/>
                <w:b/>
                <w:bCs/>
                <w:color w:val="404040"/>
                <w:sz w:val="18"/>
                <w:szCs w:val="18"/>
                <w:lang w:eastAsia="fr-FR"/>
              </w:rPr>
              <w:t>marchés subséquents</w:t>
            </w:r>
            <w:r>
              <w:rPr>
                <w:rFonts w:ascii="Marianne" w:eastAsia="Times New Roman" w:hAnsi="Marianne" w:cs="Calibri"/>
                <w:color w:val="404040"/>
                <w:sz w:val="18"/>
                <w:szCs w:val="18"/>
                <w:lang w:eastAsia="fr-FR"/>
              </w:rPr>
              <w:t>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Régional IDF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Sans objet</w:t>
            </w:r>
          </w:p>
        </w:tc>
      </w:tr>
      <w:tr>
        <w:trPr>
          <w:trHeight w:val="1088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>
            <w:pPr>
              <w:rPr>
                <w:rFonts w:ascii="Marianne" w:eastAsia="Times New Roman" w:hAnsi="Marianne" w:cs="Calibri"/>
                <w:color w:val="40404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404040"/>
                <w:sz w:val="18"/>
                <w:szCs w:val="18"/>
                <w:lang w:eastAsia="fr-FR"/>
              </w:rPr>
              <w:t>Lot 6 : Maintenance des équipements de lutte contre l’incendie (bons de commande)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75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1, 2, 3</w:t>
            </w:r>
          </w:p>
        </w:tc>
      </w:tr>
      <w:tr>
        <w:trPr>
          <w:trHeight w:val="1088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>
            <w:pPr>
              <w:rPr>
                <w:rFonts w:ascii="Marianne" w:eastAsia="Times New Roman" w:hAnsi="Marianne" w:cs="Calibri"/>
                <w:color w:val="40404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404040"/>
                <w:sz w:val="18"/>
                <w:szCs w:val="18"/>
                <w:lang w:eastAsia="fr-FR"/>
              </w:rPr>
              <w:t>Lot 7 : Maintenance des équipements de lutte contre l’incendie (bons de commande)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77 - 91 - 93 - 94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1, 2, 3</w:t>
            </w:r>
          </w:p>
        </w:tc>
      </w:tr>
      <w:tr>
        <w:trPr>
          <w:trHeight w:val="1088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>
            <w:pPr>
              <w:rPr>
                <w:rFonts w:ascii="Marianne" w:eastAsia="Times New Roman" w:hAnsi="Marianne" w:cs="Calibri"/>
                <w:color w:val="40404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404040"/>
                <w:sz w:val="18"/>
                <w:szCs w:val="18"/>
                <w:lang w:eastAsia="fr-FR"/>
              </w:rPr>
              <w:t>Lot 8 : Maintenance des équipements de lutte contre l’incendie (bons de commande)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78 - 92 - 95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1, 2, 3</w:t>
            </w:r>
          </w:p>
        </w:tc>
      </w:tr>
      <w:tr>
        <w:trPr>
          <w:trHeight w:val="1088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Marianne" w:eastAsia="Times New Roman" w:hAnsi="Marianne" w:cs="Calibri"/>
                <w:color w:val="40404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404040"/>
                <w:sz w:val="18"/>
                <w:szCs w:val="18"/>
                <w:lang w:eastAsia="fr-FR"/>
              </w:rPr>
              <w:t>Lot 9 : Travaux sur les installations de sécurité incendie et équipements d’alarme (bons de commande)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IDF Est</w:t>
            </w: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br/>
              <w:t>77 - 91 - 93 - 94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1, 2</w:t>
            </w:r>
          </w:p>
        </w:tc>
      </w:tr>
      <w:tr>
        <w:trPr>
          <w:trHeight w:val="1088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Marianne" w:eastAsia="Times New Roman" w:hAnsi="Marianne" w:cs="Calibri"/>
                <w:color w:val="40404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404040"/>
                <w:sz w:val="18"/>
                <w:szCs w:val="18"/>
                <w:lang w:eastAsia="fr-FR"/>
              </w:rPr>
              <w:t>Lot 10 : Travaux sur les installations de sécurité incendie et équipements d’alarme (bons de commande)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IDF Ouest</w:t>
            </w: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br/>
              <w:t>75 - 78 - 92 - 95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1, 2</w:t>
            </w:r>
          </w:p>
        </w:tc>
      </w:tr>
    </w:tbl>
    <w:p>
      <w:pPr>
        <w:pStyle w:val="Standard"/>
        <w:rPr>
          <w:rFonts w:ascii="Marianne" w:hAnsi="Marianne"/>
        </w:rPr>
      </w:pPr>
    </w:p>
    <w:sectPr>
      <w:pgSz w:w="11906" w:h="16838"/>
      <w:pgMar w:top="964" w:right="1077" w:bottom="1530" w:left="1077" w:header="72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mbria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rPr>
          <w:color w:val="000000"/>
        </w:rP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6E73AE"/>
    <w:multiLevelType w:val="hybridMultilevel"/>
    <w:tmpl w:val="88EC2EC6"/>
    <w:lvl w:ilvl="0" w:tplc="040C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9F04A-D983-4F53-AD95-6B0D75CF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paragraph" w:styleId="Titre1">
    <w:name w:val="heading 1"/>
    <w:basedOn w:val="Heading"/>
    <w:next w:val="Textbody"/>
    <w:pPr>
      <w:outlineLvl w:val="0"/>
    </w:pPr>
    <w:rPr>
      <w:b/>
      <w:bCs/>
    </w:rPr>
  </w:style>
  <w:style w:type="paragraph" w:styleId="Titre2">
    <w:name w:val="heading 2"/>
    <w:basedOn w:val="Heading"/>
    <w:next w:val="Textbody"/>
    <w:pPr>
      <w:spacing w:before="200"/>
      <w:outlineLvl w:val="1"/>
    </w:pPr>
    <w:rPr>
      <w:b/>
      <w:bCs/>
    </w:rPr>
  </w:style>
  <w:style w:type="paragraph" w:styleId="Titre3">
    <w:name w:val="heading 3"/>
    <w:basedOn w:val="Heading"/>
    <w:next w:val="Textbody"/>
    <w:pPr>
      <w:spacing w:before="140"/>
      <w:outlineLvl w:val="2"/>
    </w:pPr>
    <w:rPr>
      <w:b/>
      <w:bCs/>
      <w:color w:val="8080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paragraph" w:styleId="Pieddepag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">
    <w:name w:val="Table"/>
    <w:basedOn w:val="Lgende"/>
    <w:rPr>
      <w:i w:val="0"/>
      <w:sz w:val="17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35">
    <w:name w:val="RTF_Num 3 5"/>
    <w:rPr>
      <w:rFonts w:cs="Times New Roman"/>
    </w:rPr>
  </w:style>
  <w:style w:type="character" w:styleId="Marquedecommentaire">
    <w:name w:val="annotation reference"/>
    <w:qFormat/>
    <w:rPr>
      <w:sz w:val="16"/>
      <w:szCs w:val="16"/>
    </w:rPr>
  </w:style>
  <w:style w:type="paragraph" w:styleId="Commentaire">
    <w:name w:val="annotation text"/>
    <w:basedOn w:val="Normal"/>
    <w:link w:val="CommentaireCar1"/>
    <w:qFormat/>
    <w:pPr>
      <w:spacing w:before="57"/>
      <w:jc w:val="both"/>
      <w:textAlignment w:val="center"/>
    </w:pPr>
    <w:rPr>
      <w:rFonts w:ascii="Arial" w:eastAsia="Andale Sans UI" w:hAnsi="Arial" w:cs="Times New Roman"/>
      <w:sz w:val="20"/>
      <w:szCs w:val="20"/>
      <w:lang w:eastAsia="fr-FR" w:bidi="ar-SA"/>
    </w:rPr>
  </w:style>
  <w:style w:type="character" w:customStyle="1" w:styleId="CommentaireCar">
    <w:name w:val="Commentaire Car"/>
    <w:basedOn w:val="Policepardfaut"/>
    <w:qFormat/>
    <w:rPr>
      <w:rFonts w:ascii="Arial" w:eastAsia="Andale Sans UI" w:hAnsi="Arial" w:cs="Times New Roman"/>
      <w:kern w:val="3"/>
      <w:sz w:val="20"/>
      <w:szCs w:val="20"/>
      <w:lang w:eastAsia="fr-FR" w:bidi="ar-SA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rPr>
      <w:szCs w:val="21"/>
    </w:rPr>
  </w:style>
  <w:style w:type="paragraph" w:styleId="Paragraphedeliste">
    <w:name w:val="List Paragraph"/>
    <w:aliases w:val="Puces,Liste à puce,Pied de page-Stordata,Listes,Pied de page-Stordata1,Liste à puce1,Pied de page-Stordata2,Liste à puce2,Pied de page-Stordata3,Liste à puce3,Pied de page-Stordata4,Liste à puce4,Pied de page-Stordata5,Liste à puce5"/>
    <w:basedOn w:val="Normal"/>
    <w:link w:val="ParagraphedelisteCar"/>
    <w:uiPriority w:val="34"/>
    <w:qFormat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ParagraphedelisteCar">
    <w:name w:val="Paragraphe de liste Car"/>
    <w:aliases w:val="Puces Car,Liste à puce Car,Pied de page-Stordata Car,Listes Car,Pied de page-Stordata1 Car,Liste à puce1 Car,Pied de page-Stordata2 Car,Liste à puce2 Car,Pied de page-Stordata3 Car,Liste à puce3 Car,Pied de page-Stordata4 Car"/>
    <w:link w:val="Paragraphedeliste"/>
    <w:uiPriority w:val="34"/>
    <w:qFormat/>
    <w:locked/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pPr>
      <w:spacing w:before="0"/>
      <w:jc w:val="left"/>
      <w:textAlignment w:val="baseline"/>
    </w:pPr>
    <w:rPr>
      <w:rFonts w:ascii="Liberation Serif" w:eastAsia="SimSun" w:hAnsi="Liberation Serif" w:cs="Mangal"/>
      <w:b/>
      <w:bCs/>
      <w:szCs w:val="18"/>
      <w:lang w:eastAsia="zh-CN" w:bidi="hi-IN"/>
    </w:rPr>
  </w:style>
  <w:style w:type="character" w:customStyle="1" w:styleId="CommentaireCar1">
    <w:name w:val="Commentaire Car1"/>
    <w:basedOn w:val="Policepardfaut"/>
    <w:link w:val="Commentaire"/>
    <w:rPr>
      <w:rFonts w:ascii="Arial" w:eastAsia="Andale Sans UI" w:hAnsi="Arial" w:cs="Times New Roman"/>
      <w:sz w:val="20"/>
      <w:szCs w:val="20"/>
      <w:lang w:eastAsia="fr-FR" w:bidi="ar-SA"/>
    </w:rPr>
  </w:style>
  <w:style w:type="character" w:customStyle="1" w:styleId="ObjetducommentaireCar">
    <w:name w:val="Objet du commentaire Car"/>
    <w:basedOn w:val="CommentaireCar1"/>
    <w:link w:val="Objetducommentaire"/>
    <w:uiPriority w:val="99"/>
    <w:semiHidden/>
    <w:rPr>
      <w:rFonts w:ascii="Arial" w:eastAsia="Andale Sans UI" w:hAnsi="Arial" w:cs="Times New Roman"/>
      <w:b/>
      <w:bCs/>
      <w:sz w:val="20"/>
      <w:szCs w:val="18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528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 Francois</dc:creator>
  <cp:lastModifiedBy>KADI Morad</cp:lastModifiedBy>
  <cp:revision>5</cp:revision>
  <cp:lastPrinted>2019-01-23T10:25:00Z</cp:lastPrinted>
  <dcterms:created xsi:type="dcterms:W3CDTF">2025-09-11T17:09:00Z</dcterms:created>
  <dcterms:modified xsi:type="dcterms:W3CDTF">2025-10-19T18:22:00Z</dcterms:modified>
</cp:coreProperties>
</file>